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7077" w14:textId="1E5F8D66" w:rsidR="005F317C" w:rsidRDefault="00D92DC6" w:rsidP="001105D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5ACFB35" wp14:editId="7D618BCB">
            <wp:simplePos x="0" y="0"/>
            <wp:positionH relativeFrom="margin">
              <wp:align>left</wp:align>
            </wp:positionH>
            <wp:positionV relativeFrom="paragraph">
              <wp:posOffset>-270510</wp:posOffset>
            </wp:positionV>
            <wp:extent cx="1000125" cy="426720"/>
            <wp:effectExtent l="0" t="0" r="952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696"/>
        <w:tblW w:w="14845" w:type="dxa"/>
        <w:tblLayout w:type="fixed"/>
        <w:tblLook w:val="04A0" w:firstRow="1" w:lastRow="0" w:firstColumn="1" w:lastColumn="0" w:noHBand="0" w:noVBand="1"/>
      </w:tblPr>
      <w:tblGrid>
        <w:gridCol w:w="6475"/>
        <w:gridCol w:w="8370"/>
      </w:tblGrid>
      <w:tr w:rsidR="0090516D" w:rsidRPr="001127AB" w14:paraId="2A8C4260" w14:textId="77777777" w:rsidTr="007D2763">
        <w:tc>
          <w:tcPr>
            <w:tcW w:w="14845" w:type="dxa"/>
            <w:gridSpan w:val="2"/>
            <w:shd w:val="clear" w:color="auto" w:fill="D31245"/>
          </w:tcPr>
          <w:p w14:paraId="7E94B90E" w14:textId="3DDF433E" w:rsidR="0090516D" w:rsidRPr="001127AB" w:rsidRDefault="0090516D" w:rsidP="001127A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127AB">
              <w:rPr>
                <w:b/>
                <w:bCs/>
                <w:color w:val="FFFFFF" w:themeColor="background1"/>
                <w:sz w:val="32"/>
                <w:szCs w:val="32"/>
              </w:rPr>
              <w:t>BROKER</w:t>
            </w:r>
            <w:r w:rsidR="00D316DD">
              <w:rPr>
                <w:b/>
                <w:bCs/>
                <w:color w:val="FFFFFF" w:themeColor="background1"/>
                <w:sz w:val="32"/>
                <w:szCs w:val="32"/>
              </w:rPr>
              <w:t xml:space="preserve"> – INDIVIDUAL SALES</w:t>
            </w:r>
            <w:r w:rsidR="003827B2">
              <w:rPr>
                <w:b/>
                <w:bCs/>
                <w:color w:val="FFFFFF" w:themeColor="background1"/>
                <w:sz w:val="32"/>
                <w:szCs w:val="32"/>
              </w:rPr>
              <w:t xml:space="preserve"> MEDICAL ENROLLMENT AND/OR HSA ELIGIBILITY &amp; INITIAL PAYMENT</w:t>
            </w:r>
          </w:p>
        </w:tc>
      </w:tr>
      <w:tr w:rsidR="00B575A5" w:rsidRPr="00D92DC6" w14:paraId="10BA3B72" w14:textId="77777777" w:rsidTr="00B575A5">
        <w:tc>
          <w:tcPr>
            <w:tcW w:w="6475" w:type="dxa"/>
            <w:shd w:val="clear" w:color="auto" w:fill="D9D9D9" w:themeFill="background1" w:themeFillShade="D9"/>
          </w:tcPr>
          <w:p w14:paraId="3144E25C" w14:textId="24BDDD00" w:rsidR="00B575A5" w:rsidRPr="00D92DC6" w:rsidRDefault="00485F2D" w:rsidP="007A6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DocuSign </w:t>
            </w:r>
            <w:r w:rsidR="00B575A5" w:rsidRPr="00D92DC6">
              <w:rPr>
                <w:b/>
                <w:bCs/>
              </w:rPr>
              <w:t>Link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3AACC2CE" w14:textId="1A8F14F3" w:rsidR="00B575A5" w:rsidRPr="00D92DC6" w:rsidRDefault="00485F2D" w:rsidP="007A6F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Broker </w:t>
            </w:r>
            <w:r w:rsidR="00B575A5">
              <w:rPr>
                <w:b/>
                <w:bCs/>
              </w:rPr>
              <w:t>Process</w:t>
            </w:r>
          </w:p>
        </w:tc>
      </w:tr>
      <w:tr w:rsidR="005536BB" w14:paraId="7419C8F2" w14:textId="77777777" w:rsidTr="00B575A5">
        <w:trPr>
          <w:trHeight w:val="2287"/>
        </w:trPr>
        <w:tc>
          <w:tcPr>
            <w:tcW w:w="6475" w:type="dxa"/>
          </w:tcPr>
          <w:p w14:paraId="1B411C22" w14:textId="629F4AE4" w:rsidR="005536BB" w:rsidRDefault="007D2763" w:rsidP="005536BB">
            <w:pPr>
              <w:spacing w:before="7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08F4E8" wp14:editId="72EB435A">
                      <wp:simplePos x="0" y="0"/>
                      <wp:positionH relativeFrom="column">
                        <wp:posOffset>282576</wp:posOffset>
                      </wp:positionH>
                      <wp:positionV relativeFrom="paragraph">
                        <wp:posOffset>534035</wp:posOffset>
                      </wp:positionV>
                      <wp:extent cx="3238500" cy="590550"/>
                      <wp:effectExtent l="0" t="0" r="19050" b="19050"/>
                      <wp:wrapNone/>
                      <wp:docPr id="4" name="Rectangle: Rounded Corners 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3124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03A5D5" w14:textId="77777777" w:rsidR="007D2763" w:rsidRPr="0028400C" w:rsidRDefault="007D2763" w:rsidP="007D276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IH Individual Market Broker Attestation, Enrollment Application and Premium Invoice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8F4E8" id="Rectangle: Rounded Corners 4" o:spid="_x0000_s1026" href="https://na3.docusign.net/Member/PowerFormSigning.aspx?PowerFormId=e1d57206-8aca-4697-ae7a-844fd25c3d5d&amp;env=na3&amp;acct=0589584a-1635-4605-b912-831e037bd2bc&amp;v=2" style="position:absolute;left:0;text-align:left;margin-left:22.25pt;margin-top:42.05pt;width:25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" o:button="t" fillcolor="#d31245" strokecolor="#1f3763 [1604]" strokeweight="1pt">
                      <v:fill o:detectmouseclick="t"/>
                      <v:stroke joinstyle="miter"/>
                      <v:textbox>
                        <w:txbxContent>
                          <w:p w14:paraId="7E03A5D5" w14:textId="77777777" w:rsidR="007D2763" w:rsidRPr="0028400C" w:rsidRDefault="007D2763" w:rsidP="007D27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IH Individual Market Broker Attestation, Enrollment Application and Premium Invoice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370" w:type="dxa"/>
          </w:tcPr>
          <w:p w14:paraId="6C9AB059" w14:textId="77777777" w:rsidR="005536BB" w:rsidRPr="006C69B0" w:rsidRDefault="005536BB" w:rsidP="005536B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A54C61">
              <w:rPr>
                <w:sz w:val="20"/>
                <w:szCs w:val="20"/>
              </w:rPr>
              <w:t xml:space="preserve">Broker </w:t>
            </w:r>
            <w:r>
              <w:rPr>
                <w:sz w:val="20"/>
                <w:szCs w:val="20"/>
              </w:rPr>
              <w:t xml:space="preserve">clicks on </w:t>
            </w:r>
            <w:r w:rsidRPr="00A54C61">
              <w:rPr>
                <w:sz w:val="20"/>
                <w:szCs w:val="20"/>
              </w:rPr>
              <w:t>hyperlink button to open forms</w:t>
            </w:r>
            <w:r>
              <w:rPr>
                <w:sz w:val="20"/>
                <w:szCs w:val="20"/>
              </w:rPr>
              <w:t xml:space="preserve"> </w:t>
            </w:r>
            <w:r w:rsidRPr="006C69B0">
              <w:rPr>
                <w:sz w:val="20"/>
                <w:szCs w:val="20"/>
                <w:u w:val="single"/>
              </w:rPr>
              <w:t xml:space="preserve">once their client is ready to enroll.  </w:t>
            </w:r>
          </w:p>
          <w:p w14:paraId="056C2665" w14:textId="77777777" w:rsidR="005536BB" w:rsidRDefault="005536BB" w:rsidP="005536B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6AFC">
              <w:rPr>
                <w:sz w:val="20"/>
                <w:szCs w:val="20"/>
              </w:rPr>
              <w:t xml:space="preserve">Broker enters their name and email address, then the applicant’s name and email address on the front page. </w:t>
            </w:r>
          </w:p>
          <w:p w14:paraId="21099F13" w14:textId="77777777" w:rsidR="005536BB" w:rsidRPr="00AF6AFC" w:rsidRDefault="005536BB" w:rsidP="005536B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6AFC">
              <w:rPr>
                <w:sz w:val="20"/>
                <w:szCs w:val="20"/>
              </w:rPr>
              <w:t xml:space="preserve">Broker clicks “Begin Signing” and then enters the Producer Name and Broker Firm Name on the Broker Attestation Form. </w:t>
            </w:r>
          </w:p>
          <w:p w14:paraId="09286017" w14:textId="77777777" w:rsidR="005536BB" w:rsidRDefault="005536BB" w:rsidP="005536B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clicks on the “Finish” tab at the top of the screen and the packet automatically routes to the applicant. </w:t>
            </w:r>
          </w:p>
          <w:p w14:paraId="6CFB1111" w14:textId="77777777" w:rsidR="005536BB" w:rsidRPr="007437BE" w:rsidRDefault="005536BB" w:rsidP="005536B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437BE">
              <w:rPr>
                <w:sz w:val="20"/>
                <w:szCs w:val="20"/>
              </w:rPr>
              <w:t>Applicant completes the Broker Attestation, Enrollment Application and Premium Invoice</w:t>
            </w:r>
            <w:r>
              <w:rPr>
                <w:sz w:val="20"/>
                <w:szCs w:val="20"/>
              </w:rPr>
              <w:t xml:space="preserve"> forms</w:t>
            </w:r>
            <w:r w:rsidRPr="007437BE">
              <w:rPr>
                <w:sz w:val="20"/>
                <w:szCs w:val="20"/>
              </w:rPr>
              <w:t xml:space="preserve">. </w:t>
            </w:r>
          </w:p>
          <w:p w14:paraId="2BE10F6E" w14:textId="76CABAA6" w:rsidR="005536BB" w:rsidRPr="00A54C61" w:rsidRDefault="005536BB" w:rsidP="005536B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clicks on the “Finish” button at the top of the screen and the packet automatically routes to Independent Health for processing.</w:t>
            </w:r>
          </w:p>
        </w:tc>
      </w:tr>
      <w:tr w:rsidR="00FD0000" w14:paraId="155BCDEE" w14:textId="77777777" w:rsidTr="00B575A5">
        <w:trPr>
          <w:trHeight w:val="2287"/>
        </w:trPr>
        <w:tc>
          <w:tcPr>
            <w:tcW w:w="6475" w:type="dxa"/>
          </w:tcPr>
          <w:p w14:paraId="25B71DC0" w14:textId="42DFD699" w:rsidR="00FD0000" w:rsidRDefault="007D2763" w:rsidP="00FD0000">
            <w:pPr>
              <w:spacing w:before="7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88BDE" wp14:editId="16176B6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448310</wp:posOffset>
                      </wp:positionV>
                      <wp:extent cx="3219450" cy="590550"/>
                      <wp:effectExtent l="0" t="0" r="19050" b="19050"/>
                      <wp:wrapNone/>
                      <wp:docPr id="5" name="Rectangle: Rounded Corners 5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3124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E90C0" w14:textId="77777777" w:rsidR="007D2763" w:rsidRPr="0028400C" w:rsidRDefault="007D2763" w:rsidP="007D276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IH Individual Market Broker Attestation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88BDE" id="Rectangle: Rounded Corners 5" o:spid="_x0000_s1027" href="https://na3.docusign.net/Member/PowerFormSigning.aspx?PowerFormId=e1b0e1ba-5c94-4ff4-b87d-8dd92ac48685&amp;env=na3&amp;acct=0589584a-1635-4605-b912-831e037bd2bc&amp;v=2" style="position:absolute;left:0;text-align:left;margin-left:27.5pt;margin-top:35.3pt;width:253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" o:button="t" fillcolor="#d31245" strokecolor="#1f3763 [1604]" strokeweight="1pt">
                      <v:fill o:detectmouseclick="t"/>
                      <v:stroke joinstyle="miter"/>
                      <v:textbox>
                        <w:txbxContent>
                          <w:p w14:paraId="33CE90C0" w14:textId="77777777" w:rsidR="007D2763" w:rsidRPr="0028400C" w:rsidRDefault="007D2763" w:rsidP="007D27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IH Individual Market Broker Attestation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370" w:type="dxa"/>
          </w:tcPr>
          <w:p w14:paraId="3915AC71" w14:textId="77777777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4C61">
              <w:rPr>
                <w:sz w:val="20"/>
                <w:szCs w:val="20"/>
              </w:rPr>
              <w:t xml:space="preserve">Broker </w:t>
            </w:r>
            <w:r>
              <w:rPr>
                <w:sz w:val="20"/>
                <w:szCs w:val="20"/>
              </w:rPr>
              <w:t xml:space="preserve">clicks on </w:t>
            </w:r>
            <w:r w:rsidRPr="00A54C61">
              <w:rPr>
                <w:sz w:val="20"/>
                <w:szCs w:val="20"/>
              </w:rPr>
              <w:t>hyperlink button to open forms</w:t>
            </w:r>
            <w:r>
              <w:rPr>
                <w:sz w:val="20"/>
                <w:szCs w:val="20"/>
              </w:rPr>
              <w:t xml:space="preserve"> </w:t>
            </w:r>
            <w:r w:rsidRPr="00B575A5">
              <w:rPr>
                <w:sz w:val="20"/>
                <w:szCs w:val="20"/>
                <w:u w:val="single"/>
              </w:rPr>
              <w:t>once their client is ready to enroll.</w:t>
            </w:r>
            <w:r w:rsidRPr="00A54C61">
              <w:rPr>
                <w:sz w:val="20"/>
                <w:szCs w:val="20"/>
              </w:rPr>
              <w:t xml:space="preserve">  </w:t>
            </w:r>
          </w:p>
          <w:p w14:paraId="0F85486A" w14:textId="77777777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enters their name and email address, then the applicant’s name and email address on the front page. </w:t>
            </w:r>
          </w:p>
          <w:p w14:paraId="0737CA6D" w14:textId="77777777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clicks “Begin Signing” and then enters the Producer Name and Broker Firm Name on the Broker Attestation Form. </w:t>
            </w:r>
          </w:p>
          <w:p w14:paraId="025D68C1" w14:textId="77777777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clicks on the Finish tab at the top of the screen and the document automatically routes to the applicant. </w:t>
            </w:r>
          </w:p>
          <w:p w14:paraId="54886D95" w14:textId="77777777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Pr="00A54C61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>s</w:t>
            </w:r>
            <w:r w:rsidRPr="00A54C61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Broker Attestation form</w:t>
            </w:r>
            <w:r w:rsidRPr="00A54C61">
              <w:rPr>
                <w:sz w:val="20"/>
                <w:szCs w:val="20"/>
              </w:rPr>
              <w:t xml:space="preserve">. </w:t>
            </w:r>
          </w:p>
          <w:p w14:paraId="7CFD1D59" w14:textId="5A251D65" w:rsidR="00FD0000" w:rsidRPr="00A54C61" w:rsidRDefault="00FD0000" w:rsidP="00407E8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clicks on the “Finish” button at the top of the screen and the document automatically routes to Independent Health for processing.</w:t>
            </w:r>
          </w:p>
        </w:tc>
      </w:tr>
      <w:bookmarkStart w:id="0" w:name="_Hlk54349097"/>
      <w:tr w:rsidR="00FD0000" w14:paraId="1E5DB71C" w14:textId="77777777" w:rsidTr="00B575A5">
        <w:trPr>
          <w:trHeight w:val="2287"/>
        </w:trPr>
        <w:tc>
          <w:tcPr>
            <w:tcW w:w="6475" w:type="dxa"/>
          </w:tcPr>
          <w:p w14:paraId="05B174EB" w14:textId="536CD899" w:rsidR="00FD0000" w:rsidRPr="00890CCD" w:rsidRDefault="007D2763" w:rsidP="00FD0000">
            <w:pPr>
              <w:spacing w:before="720"/>
              <w:jc w:val="center"/>
              <w:rPr>
                <w:rFonts w:asciiTheme="majorHAnsi" w:hAnsiTheme="majorHAnsi" w:cstheme="majorHAnsi"/>
                <w:color w:val="C81245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BE512F" wp14:editId="4A793899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451485</wp:posOffset>
                      </wp:positionV>
                      <wp:extent cx="3305175" cy="685800"/>
                      <wp:effectExtent l="0" t="0" r="28575" b="19050"/>
                      <wp:wrapNone/>
                      <wp:docPr id="6" name="Rectangle: Rounded Corners 6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3124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7DA71C" w14:textId="77777777" w:rsidR="007D2763" w:rsidRDefault="007D2763" w:rsidP="007D276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IH Individual Market Broker Attestation, </w:t>
                                  </w:r>
                                </w:p>
                                <w:p w14:paraId="11378C10" w14:textId="0B78F5E2" w:rsidR="007D2763" w:rsidRDefault="007D2763" w:rsidP="007D276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Enrollment Application, Premium Invoice and </w:t>
                                  </w:r>
                                </w:p>
                                <w:p w14:paraId="1B04F37E" w14:textId="77777777" w:rsidR="007D2763" w:rsidRPr="0028400C" w:rsidRDefault="007D2763" w:rsidP="007D276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HSA Eligibility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E512F" id="Rectangle: Rounded Corners 6" o:spid="_x0000_s1028" href="https://na3.docusign.net/Member/PowerFormSigning.aspx?PowerFormId=3dccf82f-be3a-4afc-a6e4-95b80c346c1d&amp;env=na3&amp;acct=0589584a-1635-4605-b912-831e037bd2bc&amp;v=2" style="position:absolute;left:0;text-align:left;margin-left:27.5pt;margin-top:35.55pt;width:260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" o:button="t" fillcolor="#d31245" strokecolor="#1f3763 [1604]" strokeweight="1pt">
                      <v:fill o:detectmouseclick="t"/>
                      <v:stroke joinstyle="miter"/>
                      <v:textbox>
                        <w:txbxContent>
                          <w:p w14:paraId="3A7DA71C" w14:textId="77777777" w:rsidR="007D2763" w:rsidRDefault="007D2763" w:rsidP="007D27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IH Individual Market Broker Attestation, </w:t>
                            </w:r>
                          </w:p>
                          <w:p w14:paraId="11378C10" w14:textId="0B78F5E2" w:rsidR="007D2763" w:rsidRDefault="007D2763" w:rsidP="007D27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Enrollment Application, Premium Invoice and </w:t>
                            </w:r>
                          </w:p>
                          <w:p w14:paraId="1B04F37E" w14:textId="77777777" w:rsidR="007D2763" w:rsidRPr="0028400C" w:rsidRDefault="007D2763" w:rsidP="007D27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HSA Eligibility Form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370" w:type="dxa"/>
          </w:tcPr>
          <w:p w14:paraId="0A5D0293" w14:textId="4EA15D0C" w:rsidR="00FD0000" w:rsidRPr="006C69B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A54C61">
              <w:rPr>
                <w:sz w:val="20"/>
                <w:szCs w:val="20"/>
              </w:rPr>
              <w:t xml:space="preserve">Broker </w:t>
            </w:r>
            <w:r>
              <w:rPr>
                <w:sz w:val="20"/>
                <w:szCs w:val="20"/>
              </w:rPr>
              <w:t xml:space="preserve">clicks on </w:t>
            </w:r>
            <w:r w:rsidRPr="00A54C61">
              <w:rPr>
                <w:sz w:val="20"/>
                <w:szCs w:val="20"/>
              </w:rPr>
              <w:t>hyperlink button to open forms</w:t>
            </w:r>
            <w:r>
              <w:rPr>
                <w:sz w:val="20"/>
                <w:szCs w:val="20"/>
              </w:rPr>
              <w:t xml:space="preserve"> </w:t>
            </w:r>
            <w:r w:rsidRPr="006C69B0">
              <w:rPr>
                <w:sz w:val="20"/>
                <w:szCs w:val="20"/>
                <w:u w:val="single"/>
              </w:rPr>
              <w:t xml:space="preserve">once their client is ready to enroll.  </w:t>
            </w:r>
          </w:p>
          <w:p w14:paraId="0B8857F0" w14:textId="7795A9A6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enters their name and email address, then the applicant’s name and email address on the Power Form Signer Information page then clicks “Begin Signing”. </w:t>
            </w:r>
          </w:p>
          <w:p w14:paraId="22B2EEBF" w14:textId="3BDCA632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clicks “GOT IT”, then “CONTINUE” and enters the Producer Name and Broker Firm Name on the Broker Attestation Form. </w:t>
            </w:r>
          </w:p>
          <w:p w14:paraId="17443BAA" w14:textId="2DAC6053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clicks on the “Finish” tab at the top of the screen and the packet automatically routes to the applicant. </w:t>
            </w:r>
          </w:p>
          <w:p w14:paraId="75DBD92C" w14:textId="049916F4" w:rsidR="00FD0000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Pr="00A54C61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>s</w:t>
            </w:r>
            <w:r w:rsidRPr="00A54C61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Broker Attestation, E</w:t>
            </w:r>
            <w:r w:rsidRPr="00A54C61">
              <w:rPr>
                <w:sz w:val="20"/>
                <w:szCs w:val="20"/>
              </w:rPr>
              <w:t xml:space="preserve">nrollment </w:t>
            </w:r>
            <w:r>
              <w:rPr>
                <w:sz w:val="20"/>
                <w:szCs w:val="20"/>
              </w:rPr>
              <w:t>Application, P</w:t>
            </w:r>
            <w:r w:rsidRPr="00A54C61">
              <w:rPr>
                <w:sz w:val="20"/>
                <w:szCs w:val="20"/>
              </w:rPr>
              <w:t xml:space="preserve">remium </w:t>
            </w:r>
            <w:r>
              <w:rPr>
                <w:sz w:val="20"/>
                <w:szCs w:val="20"/>
              </w:rPr>
              <w:t xml:space="preserve">Invoice </w:t>
            </w:r>
            <w:r w:rsidRPr="00A54C61">
              <w:rPr>
                <w:sz w:val="20"/>
                <w:szCs w:val="20"/>
              </w:rPr>
              <w:t xml:space="preserve">and HSA </w:t>
            </w:r>
            <w:r>
              <w:rPr>
                <w:sz w:val="20"/>
                <w:szCs w:val="20"/>
              </w:rPr>
              <w:t>Eligibility (</w:t>
            </w:r>
            <w:r w:rsidRPr="00A54C61">
              <w:rPr>
                <w:sz w:val="20"/>
                <w:szCs w:val="20"/>
              </w:rPr>
              <w:t>if interested and eligible</w:t>
            </w:r>
            <w:r>
              <w:rPr>
                <w:sz w:val="20"/>
                <w:szCs w:val="20"/>
              </w:rPr>
              <w:t>) forms</w:t>
            </w:r>
            <w:r w:rsidRPr="00A54C61">
              <w:rPr>
                <w:sz w:val="20"/>
                <w:szCs w:val="20"/>
              </w:rPr>
              <w:t xml:space="preserve">. </w:t>
            </w:r>
          </w:p>
          <w:p w14:paraId="03DF08B5" w14:textId="414B30B4" w:rsidR="00FD0000" w:rsidRPr="00A54C61" w:rsidRDefault="00FD0000" w:rsidP="00FD000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clicks on the “Finish” button at the top of the screen and the packet automatically routes to Independent Health for processing. </w:t>
            </w:r>
          </w:p>
        </w:tc>
      </w:tr>
      <w:tr w:rsidR="00C145C5" w14:paraId="37A9BB9C" w14:textId="77777777" w:rsidTr="00B575A5">
        <w:trPr>
          <w:trHeight w:val="2287"/>
        </w:trPr>
        <w:tc>
          <w:tcPr>
            <w:tcW w:w="6475" w:type="dxa"/>
          </w:tcPr>
          <w:p w14:paraId="269B9145" w14:textId="2D449017" w:rsidR="00C145C5" w:rsidRDefault="00C145C5" w:rsidP="00C145C5">
            <w:pPr>
              <w:spacing w:before="72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5882CB" wp14:editId="34CEA63C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618491</wp:posOffset>
                      </wp:positionV>
                      <wp:extent cx="3333750" cy="647700"/>
                      <wp:effectExtent l="0" t="0" r="19050" b="19050"/>
                      <wp:wrapNone/>
                      <wp:docPr id="7" name="Rectangle: Rounded Corners 7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3124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F08C04" w14:textId="77777777" w:rsidR="00C145C5" w:rsidRPr="0028400C" w:rsidRDefault="00C145C5" w:rsidP="00C145C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IH Individual Market Premium Invoice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882CB" id="Rectangle: Rounded Corners 7" o:spid="_x0000_s1029" href="https://na3.docusign.net/Member/PowerFormSigning.aspx?PowerFormId=4fdac1ab-684a-46e4-b1ec-b8762ff9cced&amp;env=na3&amp;acct=0589584a-1635-4605-b912-831e037bd2bc&amp;v=2" style="position:absolute;left:0;text-align:left;margin-left:24.5pt;margin-top:48.7pt;width:26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" o:button="t" fillcolor="#d31245" strokecolor="#1f3763 [1604]" strokeweight="1pt">
                      <v:fill o:detectmouseclick="t"/>
                      <v:stroke joinstyle="miter"/>
                      <v:textbox>
                        <w:txbxContent>
                          <w:p w14:paraId="23F08C04" w14:textId="77777777" w:rsidR="00C145C5" w:rsidRPr="0028400C" w:rsidRDefault="00C145C5" w:rsidP="00C145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IH Individual Market Premium Invoice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370" w:type="dxa"/>
          </w:tcPr>
          <w:p w14:paraId="2D50E349" w14:textId="77777777" w:rsidR="00C145C5" w:rsidRPr="006C69B0" w:rsidRDefault="00C145C5" w:rsidP="00C145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A54C61">
              <w:rPr>
                <w:sz w:val="20"/>
                <w:szCs w:val="20"/>
              </w:rPr>
              <w:t xml:space="preserve">Broker </w:t>
            </w:r>
            <w:r>
              <w:rPr>
                <w:sz w:val="20"/>
                <w:szCs w:val="20"/>
              </w:rPr>
              <w:t xml:space="preserve">clicks on </w:t>
            </w:r>
            <w:r w:rsidRPr="00A54C61">
              <w:rPr>
                <w:sz w:val="20"/>
                <w:szCs w:val="20"/>
              </w:rPr>
              <w:t>hyperlink button to open</w:t>
            </w:r>
            <w:r>
              <w:rPr>
                <w:sz w:val="20"/>
                <w:szCs w:val="20"/>
              </w:rPr>
              <w:t xml:space="preserve"> form</w:t>
            </w:r>
            <w:r w:rsidRPr="006C69B0">
              <w:rPr>
                <w:sz w:val="20"/>
                <w:szCs w:val="20"/>
                <w:u w:val="single"/>
              </w:rPr>
              <w:t xml:space="preserve">.  </w:t>
            </w:r>
          </w:p>
          <w:p w14:paraId="132C28A3" w14:textId="77777777" w:rsidR="00C145C5" w:rsidRDefault="00C145C5" w:rsidP="00C145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enters their name and email address, then the applicant’s name and email address on the Power Form Signer Information page then clicks “Begin Signing”. </w:t>
            </w:r>
          </w:p>
          <w:p w14:paraId="201FA2C6" w14:textId="77777777" w:rsidR="00C145C5" w:rsidRDefault="00C145C5" w:rsidP="00C145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clicks “GOT IT”, then “CONTINUE” and enters the “Invoice Date”, “Plan Name” and “Monthly Premium”. They may also enter the Applicant’s “Name” and “Address” if they choose.  </w:t>
            </w:r>
          </w:p>
          <w:p w14:paraId="78B44A30" w14:textId="77777777" w:rsidR="00C145C5" w:rsidRDefault="00C145C5" w:rsidP="00C145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 clicks on the “Finish” tab at the top of the screen and the packet automatically routes to the applicant. </w:t>
            </w:r>
          </w:p>
          <w:p w14:paraId="378EFF7C" w14:textId="77777777" w:rsidR="00C145C5" w:rsidRDefault="00C145C5" w:rsidP="00C145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Pr="00A54C61">
              <w:rPr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>s</w:t>
            </w:r>
            <w:r w:rsidRPr="00A54C61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ir “Name” and “Address” boxes if empty, then enters  the “Payment Amount” and clicks on the “FINISH” button at the top to enter their credit card or bank account information. </w:t>
            </w:r>
          </w:p>
          <w:p w14:paraId="3920BAC4" w14:textId="03EC0F31" w:rsidR="00C145C5" w:rsidRPr="00A54C61" w:rsidRDefault="00C145C5" w:rsidP="00C145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clicks on the “Finish” button at the top of the screen and the packet automatically routes to Independent Health for processing.</w:t>
            </w:r>
          </w:p>
        </w:tc>
      </w:tr>
      <w:tr w:rsidR="00D5335D" w14:paraId="4649E25B" w14:textId="77777777" w:rsidTr="00771EC6">
        <w:trPr>
          <w:trHeight w:val="1868"/>
        </w:trPr>
        <w:tc>
          <w:tcPr>
            <w:tcW w:w="6475" w:type="dxa"/>
          </w:tcPr>
          <w:p w14:paraId="77B218CB" w14:textId="7B45240E" w:rsidR="00D5335D" w:rsidRDefault="00D5335D" w:rsidP="00771EC6">
            <w:pPr>
              <w:spacing w:before="7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8530E3" wp14:editId="7ECC4C35">
                      <wp:simplePos x="0" y="0"/>
                      <wp:positionH relativeFrom="column">
                        <wp:posOffset>318943</wp:posOffset>
                      </wp:positionH>
                      <wp:positionV relativeFrom="paragraph">
                        <wp:posOffset>272984</wp:posOffset>
                      </wp:positionV>
                      <wp:extent cx="3321875" cy="629211"/>
                      <wp:effectExtent l="0" t="0" r="12065" b="19050"/>
                      <wp:wrapNone/>
                      <wp:docPr id="3" name="Rectangle: Rounded Corners 3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875" cy="62921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3124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4DF5F9" w14:textId="6AFF9FA9" w:rsidR="00D5335D" w:rsidRPr="0028400C" w:rsidRDefault="00D5335D" w:rsidP="00D5335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IH ICHRA Broker Attestation and Enrollment Application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530E3" id="Rectangle: Rounded Corners 3" o:spid="_x0000_s1030" href="https://na3.docusign.net/Member/PowerFormSigning.aspx?PowerFormId=8ea846ed-813e-476f-b621-ea9ad3b6b5af&amp;env=na3&amp;acct=0589584a-1635-4605-b912-831e037bd2bc&amp;v=2" style="position:absolute;left:0;text-align:left;margin-left:25.1pt;margin-top:21.5pt;width:261.55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" o:button="t" fillcolor="#d31245" strokecolor="#1f3763 [1604]" strokeweight="1pt">
                      <v:fill o:detectmouseclick="t"/>
                      <v:stroke joinstyle="miter"/>
                      <v:textbox>
                        <w:txbxContent>
                          <w:p w14:paraId="384DF5F9" w14:textId="6AFF9FA9" w:rsidR="00D5335D" w:rsidRPr="0028400C" w:rsidRDefault="00D5335D" w:rsidP="00D533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IH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ICHRA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Broker Attestation and Enrollment Application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370" w:type="dxa"/>
          </w:tcPr>
          <w:p w14:paraId="6FA5CBD6" w14:textId="77777777" w:rsidR="003971BF" w:rsidRPr="003971BF" w:rsidRDefault="003971BF" w:rsidP="003971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71BF">
              <w:rPr>
                <w:sz w:val="20"/>
                <w:szCs w:val="20"/>
              </w:rPr>
              <w:t xml:space="preserve">Broker clicks on hyperlink button to open forms once their client is ready to enroll.  </w:t>
            </w:r>
          </w:p>
          <w:p w14:paraId="4689D451" w14:textId="77777777" w:rsidR="003971BF" w:rsidRPr="003971BF" w:rsidRDefault="003971BF" w:rsidP="003971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71BF">
              <w:rPr>
                <w:sz w:val="20"/>
                <w:szCs w:val="20"/>
              </w:rPr>
              <w:t xml:space="preserve">Broker enters their name and email address, then the applicant's name and email address on the front page. </w:t>
            </w:r>
          </w:p>
          <w:p w14:paraId="30A2FFC4" w14:textId="41550BF3" w:rsidR="003971BF" w:rsidRDefault="003971BF" w:rsidP="003971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71BF">
              <w:rPr>
                <w:sz w:val="20"/>
                <w:szCs w:val="20"/>
              </w:rPr>
              <w:t xml:space="preserve">Broker clicks "Begin Signing" and then enters the Producer Name and Broker Firm Name on the Broker Attestation Form. </w:t>
            </w:r>
          </w:p>
          <w:p w14:paraId="76B84B48" w14:textId="2EFDB811" w:rsidR="00F76666" w:rsidRPr="003971BF" w:rsidRDefault="00F76666" w:rsidP="003971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Broker enters the Account Number and Sub Account (if applicable) on the Enrollment Application.</w:t>
            </w:r>
          </w:p>
          <w:p w14:paraId="783AE1F5" w14:textId="77777777" w:rsidR="003971BF" w:rsidRPr="003971BF" w:rsidRDefault="003971BF" w:rsidP="003971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71BF">
              <w:rPr>
                <w:sz w:val="20"/>
                <w:szCs w:val="20"/>
              </w:rPr>
              <w:t xml:space="preserve">Broker clicks on the "Finish" tab at the top of the screen and the packet automatically routes to the applicant. </w:t>
            </w:r>
          </w:p>
          <w:p w14:paraId="05FB7974" w14:textId="0831E70B" w:rsidR="003971BF" w:rsidRPr="003971BF" w:rsidRDefault="003971BF" w:rsidP="003971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71BF">
              <w:rPr>
                <w:sz w:val="20"/>
                <w:szCs w:val="20"/>
              </w:rPr>
              <w:t>Applicant completes the Broker Attestation</w:t>
            </w:r>
            <w:r w:rsidR="00F76666">
              <w:rPr>
                <w:sz w:val="20"/>
                <w:szCs w:val="20"/>
              </w:rPr>
              <w:t xml:space="preserve"> and </w:t>
            </w:r>
            <w:r w:rsidRPr="003971BF">
              <w:rPr>
                <w:sz w:val="20"/>
                <w:szCs w:val="20"/>
              </w:rPr>
              <w:t>Enrollment Application</w:t>
            </w:r>
            <w:r w:rsidR="00F76666">
              <w:rPr>
                <w:sz w:val="20"/>
                <w:szCs w:val="20"/>
              </w:rPr>
              <w:t xml:space="preserve"> </w:t>
            </w:r>
            <w:r w:rsidRPr="003971BF">
              <w:rPr>
                <w:sz w:val="20"/>
                <w:szCs w:val="20"/>
              </w:rPr>
              <w:t xml:space="preserve">forms. </w:t>
            </w:r>
          </w:p>
          <w:p w14:paraId="066E0887" w14:textId="1B6F1DF3" w:rsidR="00D5335D" w:rsidRDefault="003971BF" w:rsidP="003971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71BF">
              <w:rPr>
                <w:sz w:val="20"/>
                <w:szCs w:val="20"/>
              </w:rPr>
              <w:t>Applicant clicks on the "Finish" button at the top of the screen and the packet automatically routes to Independent Health for processing.</w:t>
            </w:r>
          </w:p>
        </w:tc>
      </w:tr>
      <w:tr w:rsidR="00771EC6" w14:paraId="3C121347" w14:textId="77777777" w:rsidTr="00771EC6">
        <w:trPr>
          <w:trHeight w:val="1868"/>
        </w:trPr>
        <w:tc>
          <w:tcPr>
            <w:tcW w:w="6475" w:type="dxa"/>
          </w:tcPr>
          <w:p w14:paraId="449B55C5" w14:textId="2BA14787" w:rsidR="00771EC6" w:rsidRDefault="00771EC6" w:rsidP="00771EC6">
            <w:pPr>
              <w:spacing w:before="7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41D457" wp14:editId="297C06B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260986</wp:posOffset>
                      </wp:positionV>
                      <wp:extent cx="3314700" cy="552450"/>
                      <wp:effectExtent l="0" t="0" r="19050" b="19050"/>
                      <wp:wrapNone/>
                      <wp:docPr id="2" name="Rectangle: Rounded Corners 2">
                        <a:hlinkClick xmlns:a="http://schemas.openxmlformats.org/drawingml/2006/main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31245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2FBA65" w14:textId="149DAE3E" w:rsidR="00771EC6" w:rsidRPr="0028400C" w:rsidRDefault="00D5335D" w:rsidP="000B797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IH </w:t>
                                  </w:r>
                                  <w:r w:rsidR="00771EC6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ICHRA HSA Eligibility Form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41D457" id="Rectangle: Rounded Corners 2" o:spid="_x0000_s1031" href="https://na3.docusign.net/Member/PowerFormSigning.aspx?PowerFormId=77bb24c2-dc39-4794-afe0-289d8113119e&amp;env=na3&amp;acct=0589584a-1635-4605-b912-831e037bd2bc&amp;v=2" style="position:absolute;left:0;text-align:left;margin-left:26.75pt;margin-top:20.55pt;width:261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" o:button="t" fillcolor="#d31245" strokecolor="#1f3763 [1604]" strokeweight="1pt">
                      <v:fill o:detectmouseclick="t"/>
                      <v:stroke joinstyle="miter"/>
                      <v:textbox>
                        <w:txbxContent>
                          <w:p w14:paraId="282FBA65" w14:textId="149DAE3E" w:rsidR="00771EC6" w:rsidRPr="0028400C" w:rsidRDefault="00D5335D" w:rsidP="000B79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IH </w:t>
                            </w:r>
                            <w:r w:rsidR="00771EC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ICHRA HSA Eligibility Form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8370" w:type="dxa"/>
          </w:tcPr>
          <w:p w14:paraId="16197C29" w14:textId="77777777" w:rsidR="00771EC6" w:rsidRPr="006C69B0" w:rsidRDefault="00771EC6" w:rsidP="00771E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Applicant clicks on </w:t>
            </w:r>
            <w:r w:rsidRPr="00A54C61">
              <w:rPr>
                <w:sz w:val="20"/>
                <w:szCs w:val="20"/>
              </w:rPr>
              <w:t>hyperlink button to open</w:t>
            </w:r>
            <w:r>
              <w:rPr>
                <w:sz w:val="20"/>
                <w:szCs w:val="20"/>
              </w:rPr>
              <w:t xml:space="preserve"> form.</w:t>
            </w:r>
            <w:r w:rsidRPr="006C69B0">
              <w:rPr>
                <w:sz w:val="20"/>
                <w:szCs w:val="20"/>
                <w:u w:val="single"/>
              </w:rPr>
              <w:t xml:space="preserve"> </w:t>
            </w:r>
          </w:p>
          <w:p w14:paraId="6ABCEBC9" w14:textId="77777777" w:rsidR="00771EC6" w:rsidRDefault="00771EC6" w:rsidP="00771E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enters their name and email address on the </w:t>
            </w:r>
            <w:proofErr w:type="spellStart"/>
            <w:r>
              <w:rPr>
                <w:sz w:val="20"/>
                <w:szCs w:val="20"/>
              </w:rPr>
              <w:t>PowerForm</w:t>
            </w:r>
            <w:proofErr w:type="spellEnd"/>
            <w:r>
              <w:rPr>
                <w:sz w:val="20"/>
                <w:szCs w:val="20"/>
              </w:rPr>
              <w:t xml:space="preserve"> Signer Information page then clicks “Begin Signing”. </w:t>
            </w:r>
          </w:p>
          <w:p w14:paraId="6CAE7561" w14:textId="77777777" w:rsidR="00771EC6" w:rsidRDefault="00771EC6" w:rsidP="00771E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clicks “GOT IT”, then “CONTINUE” and enters the required information at the bottom of page 2.</w:t>
            </w:r>
          </w:p>
          <w:p w14:paraId="16364C19" w14:textId="7BD9F1A3" w:rsidR="00771EC6" w:rsidRPr="00A54C61" w:rsidRDefault="00771EC6" w:rsidP="00771E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clicks on the “Finish” button at the top of the screen and the packet automatically routes to Independent Health for processing.</w:t>
            </w:r>
          </w:p>
        </w:tc>
      </w:tr>
      <w:bookmarkEnd w:id="0"/>
    </w:tbl>
    <w:p w14:paraId="7E576F30" w14:textId="2CB6D58F" w:rsidR="00D92DC6" w:rsidRDefault="00D92DC6"/>
    <w:sectPr w:rsidR="00D92DC6" w:rsidSect="004540CE">
      <w:pgSz w:w="1584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4ADE" w14:textId="77777777" w:rsidR="007D2763" w:rsidRDefault="007D2763" w:rsidP="007D2763">
      <w:pPr>
        <w:spacing w:after="0" w:line="240" w:lineRule="auto"/>
      </w:pPr>
      <w:r>
        <w:separator/>
      </w:r>
    </w:p>
  </w:endnote>
  <w:endnote w:type="continuationSeparator" w:id="0">
    <w:p w14:paraId="5E682C44" w14:textId="77777777" w:rsidR="007D2763" w:rsidRDefault="007D2763" w:rsidP="007D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8DC6" w14:textId="77777777" w:rsidR="007D2763" w:rsidRDefault="007D2763" w:rsidP="007D2763">
      <w:pPr>
        <w:spacing w:after="0" w:line="240" w:lineRule="auto"/>
      </w:pPr>
      <w:r>
        <w:separator/>
      </w:r>
    </w:p>
  </w:footnote>
  <w:footnote w:type="continuationSeparator" w:id="0">
    <w:p w14:paraId="10BD27EC" w14:textId="77777777" w:rsidR="007D2763" w:rsidRDefault="007D2763" w:rsidP="007D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714"/>
    <w:multiLevelType w:val="hybridMultilevel"/>
    <w:tmpl w:val="260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15A"/>
    <w:multiLevelType w:val="hybridMultilevel"/>
    <w:tmpl w:val="9942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3041"/>
    <w:multiLevelType w:val="hybridMultilevel"/>
    <w:tmpl w:val="F996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C6"/>
    <w:rsid w:val="00036146"/>
    <w:rsid w:val="00076611"/>
    <w:rsid w:val="000B3A10"/>
    <w:rsid w:val="000C54A6"/>
    <w:rsid w:val="000D13B3"/>
    <w:rsid w:val="0010361E"/>
    <w:rsid w:val="001105DE"/>
    <w:rsid w:val="001127AB"/>
    <w:rsid w:val="00125429"/>
    <w:rsid w:val="001643EC"/>
    <w:rsid w:val="00175201"/>
    <w:rsid w:val="00271F59"/>
    <w:rsid w:val="002763AD"/>
    <w:rsid w:val="002864D1"/>
    <w:rsid w:val="002C5256"/>
    <w:rsid w:val="003827B2"/>
    <w:rsid w:val="003971BF"/>
    <w:rsid w:val="003D4173"/>
    <w:rsid w:val="00407E84"/>
    <w:rsid w:val="00443FB6"/>
    <w:rsid w:val="004540CE"/>
    <w:rsid w:val="00485F2D"/>
    <w:rsid w:val="00514639"/>
    <w:rsid w:val="005148CB"/>
    <w:rsid w:val="00520240"/>
    <w:rsid w:val="0052302C"/>
    <w:rsid w:val="005269E1"/>
    <w:rsid w:val="005323BF"/>
    <w:rsid w:val="00540DEC"/>
    <w:rsid w:val="005429AB"/>
    <w:rsid w:val="005536BB"/>
    <w:rsid w:val="0056184F"/>
    <w:rsid w:val="005B29DD"/>
    <w:rsid w:val="006034DD"/>
    <w:rsid w:val="00611B09"/>
    <w:rsid w:val="00620016"/>
    <w:rsid w:val="00677EF6"/>
    <w:rsid w:val="00693375"/>
    <w:rsid w:val="00695EBE"/>
    <w:rsid w:val="006C69B0"/>
    <w:rsid w:val="006E4FBF"/>
    <w:rsid w:val="007437BE"/>
    <w:rsid w:val="00771EC6"/>
    <w:rsid w:val="007A6FD2"/>
    <w:rsid w:val="007D2763"/>
    <w:rsid w:val="008902A1"/>
    <w:rsid w:val="00890CCD"/>
    <w:rsid w:val="008946E4"/>
    <w:rsid w:val="0090516D"/>
    <w:rsid w:val="00917D07"/>
    <w:rsid w:val="009208E4"/>
    <w:rsid w:val="00971099"/>
    <w:rsid w:val="009724F3"/>
    <w:rsid w:val="00A16CD5"/>
    <w:rsid w:val="00A34E6D"/>
    <w:rsid w:val="00A45BBB"/>
    <w:rsid w:val="00A54C61"/>
    <w:rsid w:val="00A921DB"/>
    <w:rsid w:val="00A9403B"/>
    <w:rsid w:val="00AA7FD8"/>
    <w:rsid w:val="00AB4F53"/>
    <w:rsid w:val="00AC0B97"/>
    <w:rsid w:val="00AC7784"/>
    <w:rsid w:val="00AF6AFC"/>
    <w:rsid w:val="00B332BA"/>
    <w:rsid w:val="00B431AF"/>
    <w:rsid w:val="00B575A5"/>
    <w:rsid w:val="00B82702"/>
    <w:rsid w:val="00B84BFC"/>
    <w:rsid w:val="00BA6C87"/>
    <w:rsid w:val="00C0613F"/>
    <w:rsid w:val="00C145C5"/>
    <w:rsid w:val="00C350E5"/>
    <w:rsid w:val="00C36241"/>
    <w:rsid w:val="00CE169C"/>
    <w:rsid w:val="00D26B7A"/>
    <w:rsid w:val="00D316DD"/>
    <w:rsid w:val="00D5335D"/>
    <w:rsid w:val="00D92A26"/>
    <w:rsid w:val="00D92DC6"/>
    <w:rsid w:val="00DA1EA5"/>
    <w:rsid w:val="00DD0F83"/>
    <w:rsid w:val="00DE2BC9"/>
    <w:rsid w:val="00E11DE6"/>
    <w:rsid w:val="00E275AB"/>
    <w:rsid w:val="00E42A1F"/>
    <w:rsid w:val="00E8386B"/>
    <w:rsid w:val="00EC7BD5"/>
    <w:rsid w:val="00F03534"/>
    <w:rsid w:val="00F52670"/>
    <w:rsid w:val="00F76666"/>
    <w:rsid w:val="00FC0E82"/>
    <w:rsid w:val="00FD0000"/>
    <w:rsid w:val="00FD6FF4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6CA0AC"/>
  <w15:chartTrackingRefBased/>
  <w15:docId w15:val="{B6A44329-9BC2-4D4C-B8D3-7A7349C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CD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C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a3.docusign.net/Member/PowerFormSigning.aspx?PowerFormId=8ea846ed-813e-476f-b621-ea9ad3b6b5af&amp;env=na3&amp;acct=0589584a-1635-4605-b912-831e037bd2bc&amp;v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3.docusign.net/Member/PowerFormSigning.aspx?PowerFormId=4fdac1ab-684a-46e4-b1ec-b8762ff9cced&amp;env=na3&amp;acct=0589584a-1635-4605-b912-831e037bd2bc&amp;v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3.docusign.net/Member/PowerFormSigning.aspx?PowerFormId=3dccf82f-be3a-4afc-a6e4-95b80c346c1d&amp;env=na3&amp;acct=0589584a-1635-4605-b912-831e037bd2bc&amp;v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3.docusign.net/Member/PowerFormSigning.aspx?PowerFormId=e1b0e1ba-5c94-4ff4-b87d-8dd92ac48685&amp;env=na3&amp;acct=0589584a-1635-4605-b912-831e037bd2bc&amp;v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3.docusign.net/Member/PowerFormSigning.aspx?PowerFormId=e1d57206-8aca-4697-ae7a-844fd25c3d5d&amp;env=na3&amp;acct=0589584a-1635-4605-b912-831e037bd2bc&amp;v=2" TargetMode="External"/><Relationship Id="rId14" Type="http://schemas.openxmlformats.org/officeDocument/2006/relationships/hyperlink" Target="https://na3.docusign.net/Member/PowerFormSigning.aspx?PowerFormId=77bb24c2-dc39-4794-afe0-289d8113119e&amp;env=na3&amp;acct=0589584a-1635-4605-b912-831e037bd2bc&amp;v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E0F5-B50C-4E75-AE88-8BE1C96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Mis</dc:creator>
  <cp:keywords/>
  <dc:description/>
  <cp:lastModifiedBy>Darlene Marafino</cp:lastModifiedBy>
  <cp:revision>8</cp:revision>
  <cp:lastPrinted>2020-10-19T18:43:00Z</cp:lastPrinted>
  <dcterms:created xsi:type="dcterms:W3CDTF">2021-09-20T18:31:00Z</dcterms:created>
  <dcterms:modified xsi:type="dcterms:W3CDTF">2022-03-21T14:23:00Z</dcterms:modified>
</cp:coreProperties>
</file>